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lang w:val="zh-TW" w:eastAsia="zh-TW"/>
        </w:rPr>
      </w:pPr>
      <w:r>
        <w:rPr>
          <w:rFonts w:hint="eastAsia" w:ascii="华文中宋" w:hAnsi="华文中宋" w:eastAsia="仿宋" w:cs="华文中宋"/>
          <w:b/>
          <w:bCs/>
          <w:color w:val="auto"/>
          <w:kern w:val="0"/>
          <w:sz w:val="32"/>
          <w:szCs w:val="52"/>
          <w:lang w:val="zh-TW" w:eastAsia="zh-TW"/>
        </w:rPr>
        <w:t>新疆财政支出绩效自评报告</w:t>
      </w:r>
    </w:p>
    <w:p>
      <w:pPr>
        <w:pStyle w:val="49"/>
        <w:pBdr>
          <w:top w:val="none" w:color="auto" w:sz="0" w:space="0"/>
          <w:left w:val="none" w:color="auto" w:sz="0" w:space="0"/>
          <w:bottom w:val="none" w:color="auto" w:sz="0" w:space="0"/>
          <w:right w:val="none" w:color="auto" w:sz="0" w:space="0"/>
        </w:pBdr>
        <w:spacing w:line="540" w:lineRule="exact"/>
        <w:jc w:val="center"/>
        <w:rPr>
          <w:rFonts w:ascii="华文中宋" w:hAnsi="华文中宋" w:eastAsia="仿宋" w:cs="华文中宋"/>
          <w:b/>
          <w:bCs/>
          <w:color w:val="auto"/>
          <w:kern w:val="0"/>
          <w:sz w:val="32"/>
          <w:szCs w:val="52"/>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6"/>
          <w:lang w:val="zh-TW" w:eastAsia="zh-TW"/>
        </w:rPr>
      </w:pPr>
      <w:r>
        <w:rPr>
          <w:rFonts w:hint="eastAsia" w:ascii="仿宋_GB2312" w:hAnsi="仿宋_GB2312" w:eastAsia="仿宋" w:cs="仿宋_GB2312"/>
          <w:color w:val="auto"/>
          <w:kern w:val="0"/>
          <w:sz w:val="32"/>
          <w:szCs w:val="36"/>
          <w:lang w:val="zh-TW" w:eastAsia="zh-TW"/>
        </w:rPr>
        <w:t>（</w:t>
      </w:r>
      <w:r>
        <w:rPr>
          <w:rFonts w:ascii="仿宋_GB2312" w:hAnsi="仿宋_GB2312" w:eastAsia="仿宋" w:cs="仿宋_GB2312"/>
          <w:color w:val="auto"/>
          <w:kern w:val="0"/>
          <w:sz w:val="32"/>
          <w:szCs w:val="36"/>
          <w:lang w:val="zh-TW" w:eastAsia="zh-TW"/>
        </w:rPr>
        <w:t>201</w:t>
      </w:r>
      <w:r>
        <w:rPr>
          <w:rFonts w:ascii="仿宋_GB2312" w:hAnsi="仿宋_GB2312" w:eastAsia="仿宋" w:cs="仿宋_GB2312"/>
          <w:color w:val="auto"/>
          <w:kern w:val="0"/>
          <w:sz w:val="32"/>
          <w:szCs w:val="36"/>
          <w:lang w:val="zh-TW"/>
        </w:rPr>
        <w:t>8</w:t>
      </w:r>
      <w:r>
        <w:rPr>
          <w:rFonts w:hint="eastAsia" w:ascii="仿宋_GB2312" w:hAnsi="仿宋_GB2312" w:eastAsia="仿宋" w:cs="仿宋_GB2312"/>
          <w:color w:val="auto"/>
          <w:kern w:val="0"/>
          <w:sz w:val="32"/>
          <w:szCs w:val="36"/>
          <w:lang w:val="zh-TW" w:eastAsia="zh-TW"/>
        </w:rPr>
        <w:t>年度）</w:t>
      </w: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jc w:val="center"/>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540" w:lineRule="exact"/>
        <w:rPr>
          <w:rFonts w:eastAsia="仿宋"/>
          <w:color w:val="auto"/>
          <w:kern w:val="0"/>
          <w:sz w:val="32"/>
          <w:szCs w:val="30"/>
        </w:rPr>
      </w:pPr>
    </w:p>
    <w:p>
      <w:pPr>
        <w:pStyle w:val="49"/>
        <w:pBdr>
          <w:top w:val="none" w:color="auto" w:sz="0" w:space="0"/>
          <w:left w:val="none" w:color="auto" w:sz="0" w:space="0"/>
          <w:bottom w:val="none" w:color="auto" w:sz="0" w:space="0"/>
          <w:right w:val="none" w:color="auto" w:sz="0" w:space="0"/>
        </w:pBdr>
        <w:spacing w:line="700" w:lineRule="exact"/>
        <w:jc w:val="left"/>
        <w:rPr>
          <w:rFonts w:eastAsia="仿宋"/>
          <w:color w:val="auto"/>
          <w:kern w:val="0"/>
          <w:sz w:val="32"/>
          <w:szCs w:val="36"/>
          <w:lang w:val="zh-TW"/>
        </w:rPr>
      </w:pPr>
      <w:r>
        <w:rPr>
          <w:rFonts w:hint="eastAsia" w:ascii="仿宋_GB2312" w:hAnsi="仿宋_GB2312" w:eastAsia="仿宋" w:cs="仿宋_GB2312"/>
          <w:color w:val="auto"/>
          <w:kern w:val="0"/>
          <w:sz w:val="32"/>
          <w:szCs w:val="36"/>
          <w:lang w:val="zh-TW" w:eastAsia="zh-TW"/>
        </w:rPr>
        <w:t>项目名称：</w:t>
      </w:r>
      <w:r>
        <w:rPr>
          <w:rFonts w:hint="eastAsia" w:ascii="仿宋_GB2312" w:hAnsi="仿宋_GB2312" w:eastAsia="仿宋" w:cs="仿宋_GB2312"/>
          <w:color w:val="auto"/>
          <w:kern w:val="0"/>
          <w:sz w:val="32"/>
          <w:szCs w:val="36"/>
          <w:lang w:val="zh-TW"/>
        </w:rPr>
        <w:t>彩票公益金</w:t>
      </w:r>
      <w:r>
        <w:rPr>
          <w:rFonts w:ascii="仿宋_GB2312" w:hAnsi="仿宋_GB2312" w:eastAsia="仿宋" w:cs="仿宋_GB2312"/>
          <w:color w:val="auto"/>
          <w:kern w:val="0"/>
          <w:sz w:val="32"/>
          <w:szCs w:val="36"/>
        </w:rPr>
        <w:t>-</w:t>
      </w:r>
      <w:r>
        <w:rPr>
          <w:rFonts w:hint="eastAsia" w:ascii="仿宋_GB2312" w:hAnsi="仿宋_GB2312" w:eastAsia="仿宋" w:cs="仿宋_GB2312"/>
          <w:color w:val="auto"/>
          <w:kern w:val="0"/>
          <w:sz w:val="32"/>
          <w:szCs w:val="36"/>
          <w:lang w:val="zh-TW"/>
        </w:rPr>
        <w:t>村级综合服务站内容建设项目</w:t>
      </w:r>
    </w:p>
    <w:p>
      <w:pPr>
        <w:pStyle w:val="49"/>
        <w:pBdr>
          <w:top w:val="none" w:color="auto" w:sz="0" w:space="0"/>
          <w:left w:val="none" w:color="auto" w:sz="0" w:space="0"/>
          <w:bottom w:val="none" w:color="auto" w:sz="0" w:space="0"/>
          <w:right w:val="none" w:color="auto" w:sz="0" w:space="0"/>
        </w:pBdr>
        <w:spacing w:line="700" w:lineRule="exact"/>
        <w:jc w:val="left"/>
        <w:rPr>
          <w:rFonts w:ascii="仿宋_GB2312" w:hAnsi="仿宋_GB2312" w:eastAsia="仿宋" w:cs="仿宋_GB2312"/>
          <w:color w:val="auto"/>
          <w:kern w:val="0"/>
          <w:sz w:val="32"/>
          <w:szCs w:val="36"/>
        </w:rPr>
      </w:pPr>
      <w:r>
        <w:rPr>
          <w:rFonts w:hint="eastAsia" w:ascii="仿宋_GB2312" w:hAnsi="仿宋_GB2312" w:eastAsia="仿宋" w:cs="仿宋_GB2312"/>
          <w:color w:val="auto"/>
          <w:kern w:val="0"/>
          <w:sz w:val="32"/>
          <w:szCs w:val="36"/>
          <w:lang w:val="zh-TW" w:eastAsia="zh-TW"/>
        </w:rPr>
        <w:t>实施单位（公章）：</w:t>
      </w:r>
      <w:r>
        <w:rPr>
          <w:rFonts w:hint="eastAsia" w:ascii="仿宋_GB2312" w:hAnsi="仿宋_GB2312" w:eastAsia="仿宋" w:cs="仿宋_GB2312"/>
          <w:color w:val="auto"/>
          <w:kern w:val="0"/>
          <w:sz w:val="32"/>
          <w:szCs w:val="36"/>
          <w:lang w:val="zh-TW"/>
        </w:rPr>
        <w:t>英吉沙县文化体育广播影视局</w:t>
      </w:r>
    </w:p>
    <w:p>
      <w:pPr>
        <w:pStyle w:val="49"/>
        <w:pBdr>
          <w:top w:val="none" w:color="auto" w:sz="0" w:space="0"/>
          <w:left w:val="none" w:color="auto" w:sz="0" w:space="0"/>
          <w:bottom w:val="none" w:color="auto" w:sz="0" w:space="0"/>
          <w:right w:val="none" w:color="auto" w:sz="0" w:space="0"/>
        </w:pBdr>
        <w:spacing w:line="700" w:lineRule="exact"/>
        <w:jc w:val="left"/>
        <w:rPr>
          <w:rFonts w:ascii="仿宋_GB2312" w:hAnsi="仿宋_GB2312" w:eastAsia="仿宋" w:cs="仿宋_GB2312"/>
          <w:color w:val="auto"/>
          <w:kern w:val="0"/>
          <w:sz w:val="32"/>
          <w:szCs w:val="36"/>
        </w:rPr>
      </w:pPr>
      <w:r>
        <w:rPr>
          <w:rFonts w:hint="eastAsia" w:ascii="仿宋_GB2312" w:hAnsi="仿宋_GB2312" w:eastAsia="仿宋" w:cs="仿宋_GB2312"/>
          <w:color w:val="auto"/>
          <w:kern w:val="0"/>
          <w:sz w:val="32"/>
          <w:szCs w:val="36"/>
          <w:lang w:val="zh-TW" w:eastAsia="zh-TW"/>
        </w:rPr>
        <w:t>主管部门（公章）：</w:t>
      </w:r>
      <w:r>
        <w:rPr>
          <w:rFonts w:hint="eastAsia" w:ascii="仿宋_GB2312" w:hAnsi="仿宋_GB2312" w:eastAsia="仿宋" w:cs="仿宋_GB2312"/>
          <w:color w:val="auto"/>
          <w:kern w:val="0"/>
          <w:sz w:val="32"/>
          <w:szCs w:val="36"/>
          <w:lang w:val="zh-TW"/>
        </w:rPr>
        <w:t>英吉沙县文化体育广播影视局</w:t>
      </w:r>
    </w:p>
    <w:p>
      <w:pPr>
        <w:pStyle w:val="49"/>
        <w:pBdr>
          <w:top w:val="none" w:color="auto" w:sz="0" w:space="0"/>
          <w:left w:val="none" w:color="auto" w:sz="0" w:space="0"/>
          <w:bottom w:val="none" w:color="auto" w:sz="0" w:space="0"/>
          <w:right w:val="none" w:color="auto" w:sz="0" w:space="0"/>
        </w:pBdr>
        <w:spacing w:line="700" w:lineRule="exact"/>
        <w:jc w:val="left"/>
        <w:rPr>
          <w:rFonts w:eastAsia="仿宋"/>
          <w:color w:val="auto"/>
          <w:kern w:val="0"/>
          <w:sz w:val="32"/>
          <w:szCs w:val="36"/>
          <w:lang w:val="zh-TW"/>
        </w:rPr>
      </w:pPr>
      <w:r>
        <w:rPr>
          <w:rFonts w:hint="eastAsia" w:ascii="仿宋_GB2312" w:hAnsi="仿宋_GB2312" w:eastAsia="仿宋" w:cs="仿宋_GB2312"/>
          <w:color w:val="auto"/>
          <w:kern w:val="0"/>
          <w:sz w:val="32"/>
          <w:szCs w:val="36"/>
          <w:lang w:val="zh-TW" w:eastAsia="zh-TW"/>
        </w:rPr>
        <w:t>项目负责人（签章）：</w:t>
      </w:r>
      <w:r>
        <w:rPr>
          <w:rFonts w:hint="eastAsia" w:ascii="仿宋_GB2312" w:hAnsi="仿宋_GB2312" w:eastAsia="仿宋" w:cs="仿宋_GB2312"/>
          <w:color w:val="auto"/>
          <w:kern w:val="0"/>
          <w:sz w:val="32"/>
          <w:szCs w:val="36"/>
          <w:lang w:val="zh-TW"/>
        </w:rPr>
        <w:t>刘刚</w:t>
      </w:r>
    </w:p>
    <w:p>
      <w:pPr>
        <w:pStyle w:val="49"/>
        <w:pBdr>
          <w:top w:val="none" w:color="auto" w:sz="0" w:space="0"/>
          <w:left w:val="none" w:color="auto" w:sz="0" w:space="0"/>
          <w:bottom w:val="none" w:color="auto" w:sz="0" w:space="0"/>
          <w:right w:val="none" w:color="auto" w:sz="0" w:space="0"/>
        </w:pBdr>
        <w:spacing w:line="700" w:lineRule="exact"/>
        <w:jc w:val="left"/>
        <w:rPr>
          <w:rFonts w:ascii="仿宋_GB2312" w:hAnsi="仿宋_GB2312" w:eastAsia="仿宋" w:cs="仿宋_GB2312"/>
          <w:color w:val="auto"/>
          <w:kern w:val="0"/>
          <w:sz w:val="32"/>
          <w:szCs w:val="36"/>
          <w:lang w:val="zh-TW" w:eastAsia="zh-TW"/>
        </w:rPr>
      </w:pPr>
      <w:r>
        <w:rPr>
          <w:rFonts w:hint="eastAsia" w:ascii="仿宋_GB2312" w:hAnsi="仿宋_GB2312" w:eastAsia="仿宋" w:cs="仿宋_GB2312"/>
          <w:color w:val="auto"/>
          <w:kern w:val="0"/>
          <w:sz w:val="32"/>
          <w:szCs w:val="36"/>
          <w:lang w:val="zh-TW" w:eastAsia="zh-TW"/>
        </w:rPr>
        <w:t>填报时间：</w:t>
      </w:r>
      <w:r>
        <w:rPr>
          <w:rFonts w:ascii="仿宋_GB2312" w:hAnsi="仿宋_GB2312" w:eastAsia="仿宋" w:cs="仿宋_GB2312"/>
          <w:color w:val="auto"/>
          <w:kern w:val="0"/>
          <w:sz w:val="32"/>
          <w:szCs w:val="36"/>
          <w:lang w:val="zh-TW" w:eastAsia="zh-TW"/>
        </w:rPr>
        <w:t>201</w:t>
      </w:r>
      <w:r>
        <w:rPr>
          <w:rFonts w:ascii="仿宋_GB2312" w:hAnsi="仿宋_GB2312" w:eastAsia="仿宋" w:cs="仿宋_GB2312"/>
          <w:color w:val="auto"/>
          <w:kern w:val="0"/>
          <w:sz w:val="32"/>
          <w:szCs w:val="36"/>
          <w:lang w:val="zh-TW"/>
        </w:rPr>
        <w:t>8</w:t>
      </w:r>
      <w:r>
        <w:rPr>
          <w:rFonts w:hint="eastAsia" w:ascii="仿宋_GB2312" w:hAnsi="仿宋_GB2312" w:eastAsia="仿宋" w:cs="仿宋_GB2312"/>
          <w:color w:val="auto"/>
          <w:kern w:val="0"/>
          <w:sz w:val="32"/>
          <w:szCs w:val="36"/>
          <w:lang w:val="zh-TW" w:eastAsia="zh-TW"/>
        </w:rPr>
        <w:t>年</w:t>
      </w:r>
      <w:r>
        <w:rPr>
          <w:rFonts w:ascii="仿宋_GB2312" w:hAnsi="仿宋_GB2312" w:eastAsia="仿宋" w:cs="仿宋_GB2312"/>
          <w:color w:val="auto"/>
          <w:kern w:val="0"/>
          <w:sz w:val="32"/>
          <w:szCs w:val="36"/>
          <w:lang w:val="zh-TW" w:eastAsia="zh-TW"/>
        </w:rPr>
        <w:t>12</w:t>
      </w:r>
      <w:r>
        <w:rPr>
          <w:rFonts w:hint="eastAsia" w:ascii="仿宋_GB2312" w:hAnsi="仿宋_GB2312" w:eastAsia="仿宋" w:cs="仿宋_GB2312"/>
          <w:color w:val="auto"/>
          <w:kern w:val="0"/>
          <w:sz w:val="32"/>
          <w:szCs w:val="36"/>
          <w:lang w:val="zh-TW" w:eastAsia="zh-TW"/>
        </w:rPr>
        <w:t>月</w:t>
      </w:r>
      <w:r>
        <w:rPr>
          <w:rFonts w:ascii="仿宋_GB2312" w:hAnsi="仿宋_GB2312" w:eastAsia="仿宋" w:cs="仿宋_GB2312"/>
          <w:color w:val="auto"/>
          <w:kern w:val="0"/>
          <w:sz w:val="32"/>
          <w:szCs w:val="36"/>
          <w:lang w:val="zh-TW"/>
        </w:rPr>
        <w:t>25</w:t>
      </w:r>
      <w:r>
        <w:rPr>
          <w:rFonts w:hint="eastAsia" w:ascii="仿宋_GB2312" w:hAnsi="仿宋_GB2312" w:eastAsia="仿宋" w:cs="仿宋_GB2312"/>
          <w:color w:val="auto"/>
          <w:kern w:val="0"/>
          <w:sz w:val="32"/>
          <w:szCs w:val="36"/>
          <w:lang w:val="zh-TW" w:eastAsia="zh-TW"/>
        </w:rPr>
        <w:t>日</w:t>
      </w:r>
    </w:p>
    <w:p>
      <w:pPr>
        <w:pStyle w:val="49"/>
        <w:pBdr>
          <w:top w:val="none" w:color="auto" w:sz="0" w:space="0"/>
          <w:left w:val="none" w:color="auto" w:sz="0" w:space="0"/>
          <w:bottom w:val="none" w:color="auto" w:sz="0" w:space="0"/>
          <w:right w:val="none" w:color="auto" w:sz="0" w:space="0"/>
        </w:pBdr>
        <w:spacing w:line="700" w:lineRule="exact"/>
        <w:ind w:firstLine="624" w:firstLineChars="200"/>
        <w:jc w:val="left"/>
        <w:rPr>
          <w:rStyle w:val="19"/>
          <w:rFonts w:ascii="黑体" w:hAnsi="黑体" w:eastAsia="仿宋" w:cs="Arial Unicode MS"/>
          <w:b w:val="0"/>
          <w:color w:val="auto"/>
          <w:spacing w:val="-4"/>
          <w:sz w:val="32"/>
          <w:szCs w:val="32"/>
        </w:rPr>
      </w:pPr>
    </w:p>
    <w:p>
      <w:pPr>
        <w:pStyle w:val="49"/>
        <w:pBdr>
          <w:top w:val="none" w:color="auto" w:sz="0" w:space="0"/>
          <w:left w:val="none" w:color="auto" w:sz="0" w:space="0"/>
          <w:bottom w:val="none" w:color="auto" w:sz="0" w:space="0"/>
          <w:right w:val="none" w:color="auto" w:sz="0" w:space="0"/>
        </w:pBdr>
        <w:spacing w:line="700" w:lineRule="exact"/>
        <w:ind w:firstLine="464" w:firstLineChars="200"/>
        <w:jc w:val="left"/>
        <w:rPr>
          <w:rStyle w:val="19"/>
          <w:rFonts w:ascii="宋体" w:cs="Arial Unicode MS"/>
          <w:b w:val="0"/>
          <w:color w:val="auto"/>
          <w:spacing w:val="-4"/>
          <w:sz w:val="24"/>
          <w:szCs w:val="24"/>
        </w:rPr>
      </w:pPr>
      <w:r>
        <w:rPr>
          <w:rStyle w:val="19"/>
          <w:rFonts w:hint="eastAsia" w:ascii="宋体" w:hAnsi="宋体" w:cs="Arial Unicode MS"/>
          <w:b w:val="0"/>
          <w:color w:val="auto"/>
          <w:spacing w:val="-4"/>
          <w:sz w:val="24"/>
          <w:szCs w:val="24"/>
        </w:rPr>
        <w:t>一、项目概况</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（一）项目单位基本情况</w:t>
      </w:r>
    </w:p>
    <w:p>
      <w:pPr>
        <w:pStyle w:val="16"/>
        <w:shd w:val="clear" w:color="auto" w:fill="FFFFFF"/>
        <w:spacing w:before="0" w:beforeAutospacing="0" w:after="0" w:line="560" w:lineRule="exact"/>
        <w:ind w:firstLine="480" w:firstLineChars="200"/>
        <w:rPr>
          <w:rFonts w:ascii="宋体"/>
        </w:rPr>
      </w:pPr>
      <w:r>
        <w:rPr>
          <w:rFonts w:hint="eastAsia" w:ascii="宋体" w:hAnsi="宋体"/>
        </w:rPr>
        <w:t>贯彻执行党和国家关于文化、新闻出版、体育、广播电影电视的方针政策，加强文化、新闻出版物市场管理；积极开展群众体育活动和竞技体育活动，培养和选拔体育人才；把握正确的舆论导向，充分发挥广播电影电视宣传媒体作用，弘扬主旋律，高唱正气歌，为本县社会、经济发展服务。制定文化、体育、广播电影电视事业的发展规划，领导和管理本县广播电视台（站）、网络中心、文化馆（站）、图书馆、文工团、农村数字电影服务管理站、业余体校等单位的事业发展和业务管理工作，强化广播电视新闻宣传，对宣传内容和广播电视节目把关。负责广播电视播出机构、有线电视网络、电视放映机构、文化经营机构的管理和审批；负责卫星广播电视地面设施管理。贯彻落实广电行业技术标准，保证广播电视节目的正常播出。归口管理全县文化市场、新闻出版和体育经营活动，依法指导文化、新闻出版、体育市场稽查工作，引导文化、新闻出版和体育市场经营方向。加强电影发行（放映）、图书音像市场、文化娱乐场所的管理和稽查工作，指导和协调文化、新闻出版、体育产业发展，促进公益性和公共文化设施的发展；指导全县社会文化事业和少年儿童文化艺术事业的建设和发展。办好业余体校，组织和开展竞技体育活动，培养和选拔体育人才，组织和指导全县群众性体育活动，指导配合行业、社会团体、农牧区体育活动的开展。管理全县图书馆事业、文博事业，指导全县文物保护工作；归口管理体育彩票活动，依法指导体育彩票发行工作。充分利用广播电视宣传媒体，全面及时的宣传报道全县各行各业在大建设大发展中取得的成就和经验，积极对外宣传英吉沙，提高英吉沙知名度，同时强化新闻监督作用。承办县委、县人民政府交办的其他事项。</w:t>
      </w:r>
    </w:p>
    <w:p>
      <w:pPr>
        <w:adjustRightInd w:val="0"/>
        <w:snapToGrid w:val="0"/>
        <w:spacing w:line="560" w:lineRule="exact"/>
        <w:ind w:firstLine="466" w:firstLineChars="200"/>
        <w:rPr>
          <w:rStyle w:val="19"/>
          <w:rFonts w:ascii="宋体"/>
          <w:spacing w:val="-4"/>
          <w:sz w:val="24"/>
        </w:rPr>
      </w:pPr>
      <w:r>
        <w:rPr>
          <w:rStyle w:val="19"/>
          <w:rFonts w:hint="eastAsia" w:ascii="宋体" w:hAnsi="宋体"/>
          <w:spacing w:val="-4"/>
          <w:sz w:val="24"/>
        </w:rPr>
        <w:t>（二）项目预算绩效目标设定情况</w:t>
      </w:r>
    </w:p>
    <w:p>
      <w:pPr>
        <w:adjustRightInd w:val="0"/>
        <w:snapToGrid w:val="0"/>
        <w:spacing w:line="560" w:lineRule="exact"/>
        <w:ind w:firstLine="466" w:firstLineChars="200"/>
        <w:rPr>
          <w:rFonts w:ascii="宋体"/>
          <w:b/>
          <w:bCs/>
          <w:spacing w:val="-4"/>
          <w:sz w:val="24"/>
        </w:rPr>
      </w:pPr>
      <w:r>
        <w:rPr>
          <w:rFonts w:ascii="宋体" w:hAnsi="宋体"/>
          <w:b/>
          <w:bCs/>
          <w:spacing w:val="-4"/>
          <w:sz w:val="24"/>
        </w:rPr>
        <w:t>1</w:t>
      </w:r>
      <w:r>
        <w:rPr>
          <w:rFonts w:hint="eastAsia" w:ascii="宋体" w:hAnsi="宋体"/>
          <w:b/>
          <w:bCs/>
          <w:spacing w:val="-4"/>
          <w:sz w:val="24"/>
        </w:rPr>
        <w:t>、项目预期目标及阶段性目标</w:t>
      </w:r>
    </w:p>
    <w:p>
      <w:pPr>
        <w:pStyle w:val="16"/>
        <w:widowControl/>
        <w:spacing w:before="0" w:beforeAutospacing="0" w:after="0" w:afterAutospacing="0" w:line="560" w:lineRule="exact"/>
        <w:ind w:firstLine="360" w:firstLineChars="150"/>
        <w:jc w:val="both"/>
        <w:rPr>
          <w:rFonts w:ascii="宋体"/>
        </w:rPr>
      </w:pPr>
      <w:r>
        <w:rPr>
          <w:rFonts w:hint="eastAsia" w:ascii="宋体" w:hAnsi="宋体" w:cs="宋体"/>
        </w:rPr>
        <w:t>项目建设着力</w:t>
      </w:r>
      <w:r>
        <w:rPr>
          <w:rFonts w:hint="eastAsia" w:ascii="宋体" w:hAnsi="宋体"/>
        </w:rPr>
        <w:t>于推进村级文化建设均衡发展，筑牢基层文化宣传阵地，为满足我县各族人民群众日益增长的精神文化需求，繁荣我县基层群众文化活动，提升公共文化服务水平提供了有力的资金保障；对于丰富群众文化生活、更好的宣传改革开放的大好形势和党的路线方针、各项惠民政策，维护我县社会</w:t>
      </w:r>
      <w:r>
        <w:rPr>
          <w:rFonts w:hint="eastAsia" w:ascii="宋体" w:hAnsi="宋体"/>
          <w:lang w:eastAsia="zh-CN"/>
        </w:rPr>
        <w:t>和谐</w:t>
      </w:r>
      <w:bookmarkStart w:id="0" w:name="_GoBack"/>
      <w:bookmarkEnd w:id="0"/>
      <w:r>
        <w:rPr>
          <w:rFonts w:hint="eastAsia" w:ascii="宋体" w:hAnsi="宋体"/>
        </w:rPr>
        <w:t>起到积极的推动作用给人民群众提供优质高效、快捷准确的服务。</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本项目性质为为新增项目和延续项目。</w:t>
      </w:r>
    </w:p>
    <w:p>
      <w:pPr>
        <w:adjustRightInd w:val="0"/>
        <w:snapToGrid w:val="0"/>
        <w:spacing w:line="560" w:lineRule="exact"/>
        <w:ind w:firstLine="466" w:firstLineChars="200"/>
        <w:rPr>
          <w:rFonts w:ascii="宋体"/>
          <w:b/>
          <w:bCs/>
          <w:spacing w:val="-4"/>
          <w:sz w:val="24"/>
        </w:rPr>
      </w:pPr>
      <w:r>
        <w:rPr>
          <w:rFonts w:ascii="宋体" w:hAnsi="宋体"/>
          <w:b/>
          <w:bCs/>
          <w:spacing w:val="-4"/>
          <w:sz w:val="24"/>
        </w:rPr>
        <w:t>3</w:t>
      </w:r>
      <w:r>
        <w:rPr>
          <w:rFonts w:hint="eastAsia" w:ascii="宋体" w:hAnsi="宋体"/>
          <w:b/>
          <w:bCs/>
          <w:spacing w:val="-4"/>
          <w:sz w:val="24"/>
        </w:rPr>
        <w:t>、项目用途及范围</w:t>
      </w:r>
    </w:p>
    <w:p>
      <w:pPr>
        <w:adjustRightInd w:val="0"/>
        <w:snapToGrid w:val="0"/>
        <w:spacing w:line="560" w:lineRule="exact"/>
        <w:ind w:firstLine="480" w:firstLineChars="200"/>
        <w:outlineLvl w:val="0"/>
        <w:rPr>
          <w:rFonts w:ascii="宋体"/>
          <w:sz w:val="24"/>
        </w:rPr>
      </w:pPr>
      <w:r>
        <w:rPr>
          <w:rFonts w:hint="eastAsia" w:ascii="宋体" w:hAnsi="宋体"/>
          <w:sz w:val="24"/>
        </w:rPr>
        <w:t>用于我县村级综合文化服务中心覆盖工程文化内容建设，建设内容我县各乡镇</w:t>
      </w:r>
      <w:r>
        <w:rPr>
          <w:rFonts w:ascii="宋体" w:hAnsi="宋体"/>
          <w:sz w:val="24"/>
        </w:rPr>
        <w:t>6</w:t>
      </w:r>
      <w:r>
        <w:rPr>
          <w:rFonts w:hint="eastAsia" w:ascii="宋体" w:hAnsi="宋体"/>
          <w:sz w:val="24"/>
        </w:rPr>
        <w:t>万元标准用于村级政策宣传、培训，以及节日主题活动、文体活动、各类知识竞赛活动等文化内容建设。</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二、项目资金使用及管理情况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（一）项目资金安排落实、总投入等情况分析</w:t>
      </w:r>
    </w:p>
    <w:p>
      <w:pPr>
        <w:adjustRightInd w:val="0"/>
        <w:snapToGrid w:val="0"/>
        <w:spacing w:line="560" w:lineRule="exact"/>
        <w:ind w:firstLine="464" w:firstLineChars="200"/>
        <w:rPr>
          <w:rFonts w:ascii="宋体"/>
          <w:sz w:val="24"/>
        </w:rPr>
      </w:pPr>
      <w:r>
        <w:rPr>
          <w:rFonts w:hint="eastAsia" w:ascii="宋体" w:hAnsi="宋体"/>
          <w:bCs/>
          <w:spacing w:val="-4"/>
          <w:sz w:val="24"/>
        </w:rPr>
        <w:t>项目预算金额</w:t>
      </w:r>
      <w:r>
        <w:rPr>
          <w:rFonts w:ascii="宋体" w:hAnsi="宋体"/>
          <w:bCs/>
          <w:spacing w:val="-4"/>
          <w:sz w:val="24"/>
        </w:rPr>
        <w:t>84</w:t>
      </w:r>
      <w:r>
        <w:rPr>
          <w:rFonts w:hint="eastAsia" w:ascii="宋体" w:hAnsi="宋体"/>
          <w:bCs/>
          <w:spacing w:val="-4"/>
          <w:sz w:val="24"/>
        </w:rPr>
        <w:t>万元，资金来源（财政资金）</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项目预算安排总额为</w:t>
      </w:r>
      <w:r>
        <w:rPr>
          <w:rFonts w:ascii="宋体" w:hAnsi="宋体"/>
          <w:bCs/>
          <w:spacing w:val="-4"/>
          <w:sz w:val="24"/>
        </w:rPr>
        <w:t>84</w:t>
      </w:r>
      <w:r>
        <w:rPr>
          <w:rFonts w:hint="eastAsia" w:ascii="宋体" w:hAnsi="宋体"/>
          <w:bCs/>
          <w:spacing w:val="-4"/>
          <w:sz w:val="24"/>
        </w:rPr>
        <w:t>万元，其中财政资金</w:t>
      </w:r>
      <w:r>
        <w:rPr>
          <w:rFonts w:ascii="宋体" w:hAnsi="宋体"/>
          <w:bCs/>
          <w:spacing w:val="-4"/>
          <w:sz w:val="24"/>
        </w:rPr>
        <w:t>84</w:t>
      </w:r>
      <w:r>
        <w:rPr>
          <w:rFonts w:hint="eastAsia" w:ascii="宋体" w:hAnsi="宋体"/>
          <w:bCs/>
          <w:spacing w:val="-4"/>
          <w:sz w:val="24"/>
        </w:rPr>
        <w:t>万元，自筹资金</w:t>
      </w:r>
      <w:r>
        <w:rPr>
          <w:rFonts w:ascii="宋体"/>
          <w:bCs/>
          <w:spacing w:val="-4"/>
          <w:sz w:val="24"/>
        </w:rPr>
        <w:t>84</w:t>
      </w:r>
      <w:r>
        <w:rPr>
          <w:rFonts w:hint="eastAsia" w:ascii="宋体" w:hAnsi="宋体"/>
          <w:bCs/>
          <w:spacing w:val="-4"/>
          <w:sz w:val="24"/>
        </w:rPr>
        <w:t>万元，</w:t>
      </w:r>
      <w:r>
        <w:rPr>
          <w:rFonts w:ascii="宋体" w:hAnsi="宋体"/>
          <w:bCs/>
          <w:spacing w:val="-4"/>
          <w:sz w:val="24"/>
        </w:rPr>
        <w:t>2018</w:t>
      </w:r>
      <w:r>
        <w:rPr>
          <w:rFonts w:hint="eastAsia" w:ascii="宋体" w:hAnsi="宋体"/>
          <w:bCs/>
          <w:spacing w:val="-4"/>
          <w:sz w:val="24"/>
        </w:rPr>
        <w:t>年实际收到预算资金</w:t>
      </w:r>
      <w:r>
        <w:rPr>
          <w:rFonts w:ascii="宋体" w:hAnsi="宋体"/>
          <w:bCs/>
          <w:spacing w:val="-4"/>
          <w:sz w:val="24"/>
        </w:rPr>
        <w:t>84</w:t>
      </w:r>
      <w:r>
        <w:rPr>
          <w:rFonts w:hint="eastAsia" w:ascii="宋体" w:hAnsi="宋体"/>
          <w:bCs/>
          <w:spacing w:val="-4"/>
          <w:sz w:val="24"/>
        </w:rPr>
        <w:t>万元。</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（二）项目资金实际使用情况分析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本项目实际支付资金</w:t>
      </w:r>
      <w:r>
        <w:rPr>
          <w:rFonts w:ascii="宋体" w:hAnsi="宋体"/>
          <w:bCs/>
          <w:spacing w:val="-4"/>
          <w:sz w:val="24"/>
        </w:rPr>
        <w:t>84</w:t>
      </w:r>
      <w:r>
        <w:rPr>
          <w:rFonts w:hint="eastAsia" w:ascii="宋体" w:hAnsi="宋体"/>
          <w:bCs/>
          <w:spacing w:val="-4"/>
          <w:sz w:val="24"/>
        </w:rPr>
        <w:t>万元，预算执行率</w:t>
      </w:r>
      <w:r>
        <w:rPr>
          <w:rFonts w:ascii="宋体" w:hAnsi="宋体"/>
          <w:bCs/>
          <w:spacing w:val="-4"/>
          <w:sz w:val="24"/>
        </w:rPr>
        <w:t>100%</w:t>
      </w:r>
      <w:r>
        <w:rPr>
          <w:rFonts w:hint="eastAsia" w:ascii="宋体" w:hAnsi="宋体"/>
          <w:bCs/>
          <w:spacing w:val="-4"/>
          <w:sz w:val="24"/>
        </w:rPr>
        <w:t>。项目资金主要用于支付</w:t>
      </w:r>
      <w:r>
        <w:rPr>
          <w:rFonts w:hint="eastAsia" w:ascii="宋体" w:hAnsi="宋体"/>
          <w:sz w:val="24"/>
        </w:rPr>
        <w:t>村级综合文化服务中心覆盖工程文化内容建设</w:t>
      </w:r>
      <w:r>
        <w:rPr>
          <w:rFonts w:hint="eastAsia" w:ascii="宋体" w:hAnsi="宋体"/>
          <w:bCs/>
          <w:spacing w:val="-4"/>
          <w:sz w:val="24"/>
        </w:rPr>
        <w:t>项目费用</w:t>
      </w:r>
      <w:r>
        <w:rPr>
          <w:rFonts w:ascii="宋体" w:hAnsi="宋体"/>
          <w:bCs/>
          <w:spacing w:val="-4"/>
          <w:sz w:val="24"/>
        </w:rPr>
        <w:t>84</w:t>
      </w:r>
      <w:r>
        <w:rPr>
          <w:rFonts w:hint="eastAsia" w:ascii="宋体" w:hAnsi="宋体"/>
          <w:bCs/>
          <w:spacing w:val="-4"/>
          <w:sz w:val="24"/>
        </w:rPr>
        <w:t>万元。</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（三）项目资金管理情况分析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分析内容包括：①已制定或具有相应的项目资金管理办法；②项目资金管理办法符合国家财经法规和财务管理制度以及有关资金管理办法的规定；③资金的拨付有完整的审批程序和手续；④不存在截留、挤占、挪用、虚列支出等情况；</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本项目支出符合基础设施建设项目财务管理制度，包括财务收支审批制度、财务稽核制度、财务牵制制度、会计主管岗位职责等制度规定，资金的拨付有完整的审批程序和手续，不存在截留、挤占、挪用等情况。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三、项目组织实施情况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（一）项目组织情况分析</w:t>
      </w:r>
    </w:p>
    <w:p>
      <w:pPr>
        <w:spacing w:line="560" w:lineRule="exact"/>
        <w:ind w:firstLine="465" w:firstLineChars="194"/>
        <w:jc w:val="left"/>
        <w:rPr>
          <w:rStyle w:val="19"/>
          <w:rFonts w:ascii="宋体"/>
          <w:b w:val="0"/>
          <w:spacing w:val="-4"/>
          <w:sz w:val="24"/>
        </w:rPr>
      </w:pPr>
      <w:r>
        <w:rPr>
          <w:rFonts w:hint="eastAsia" w:ascii="宋体" w:hAnsi="宋体"/>
          <w:sz w:val="24"/>
        </w:rPr>
        <w:t>项目资金由县财政局实行国库集中支付</w:t>
      </w:r>
      <w:r>
        <w:rPr>
          <w:rStyle w:val="19"/>
          <w:rFonts w:hint="eastAsia" w:ascii="宋体" w:hAnsi="宋体"/>
          <w:b w:val="0"/>
          <w:spacing w:val="-4"/>
          <w:sz w:val="24"/>
        </w:rPr>
        <w:t>，本项目不存在调整情况。</w:t>
      </w:r>
    </w:p>
    <w:p>
      <w:pPr>
        <w:adjustRightInd w:val="0"/>
        <w:snapToGrid w:val="0"/>
        <w:spacing w:line="560" w:lineRule="exact"/>
        <w:ind w:firstLine="466" w:firstLineChars="200"/>
        <w:outlineLvl w:val="0"/>
        <w:rPr>
          <w:rStyle w:val="19"/>
          <w:rFonts w:ascii="宋体"/>
          <w:spacing w:val="-4"/>
          <w:sz w:val="24"/>
        </w:rPr>
      </w:pPr>
      <w:r>
        <w:rPr>
          <w:rStyle w:val="19"/>
          <w:rFonts w:hint="eastAsia" w:ascii="宋体" w:hAnsi="宋体"/>
          <w:spacing w:val="-4"/>
          <w:sz w:val="24"/>
        </w:rPr>
        <w:t>（二）项目管理情况分析</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项目管理制度建设、日常检查监督管理等情况。</w:t>
      </w:r>
    </w:p>
    <w:p>
      <w:pPr>
        <w:adjustRightInd w:val="0"/>
        <w:snapToGrid w:val="0"/>
        <w:spacing w:line="560" w:lineRule="exact"/>
        <w:ind w:firstLine="464" w:firstLineChars="200"/>
        <w:outlineLvl w:val="0"/>
        <w:rPr>
          <w:rStyle w:val="19"/>
          <w:rFonts w:ascii="宋体"/>
          <w:sz w:val="24"/>
        </w:rPr>
      </w:pPr>
      <w:r>
        <w:rPr>
          <w:rStyle w:val="19"/>
          <w:rFonts w:hint="eastAsia" w:ascii="宋体" w:hAnsi="宋体"/>
          <w:b w:val="0"/>
          <w:spacing w:val="-4"/>
          <w:sz w:val="24"/>
        </w:rPr>
        <w:t>四、项目绩效情况</w:t>
      </w:r>
    </w:p>
    <w:p>
      <w:pPr>
        <w:adjustRightInd w:val="0"/>
        <w:snapToGrid w:val="0"/>
        <w:spacing w:line="560" w:lineRule="exact"/>
        <w:ind w:firstLine="466" w:firstLineChars="200"/>
        <w:outlineLvl w:val="0"/>
        <w:rPr>
          <w:rStyle w:val="19"/>
          <w:rFonts w:ascii="宋体"/>
          <w:bCs w:val="0"/>
          <w:spacing w:val="-4"/>
          <w:sz w:val="24"/>
        </w:rPr>
      </w:pPr>
      <w:r>
        <w:rPr>
          <w:rFonts w:hint="eastAsia" w:ascii="宋体" w:hAnsi="宋体"/>
          <w:b/>
          <w:spacing w:val="-4"/>
          <w:sz w:val="24"/>
        </w:rPr>
        <w:t>（一）项目绩效目标完成情况分析</w:t>
      </w:r>
    </w:p>
    <w:p>
      <w:pPr>
        <w:adjustRightInd w:val="0"/>
        <w:snapToGrid w:val="0"/>
        <w:spacing w:line="560" w:lineRule="exact"/>
        <w:ind w:firstLine="464" w:firstLineChars="200"/>
        <w:rPr>
          <w:rFonts w:ascii="宋体"/>
          <w:bCs/>
          <w:spacing w:val="-4"/>
          <w:sz w:val="24"/>
        </w:rPr>
      </w:pPr>
      <w:r>
        <w:rPr>
          <w:rFonts w:hint="eastAsia" w:ascii="宋体" w:hAnsi="宋体"/>
          <w:bCs/>
          <w:spacing w:val="-4"/>
          <w:sz w:val="24"/>
        </w:rPr>
        <w:t>本项目共设置一级指标</w:t>
      </w:r>
      <w:r>
        <w:rPr>
          <w:rFonts w:ascii="宋体" w:hAnsi="宋体"/>
          <w:bCs/>
          <w:spacing w:val="-4"/>
          <w:sz w:val="24"/>
        </w:rPr>
        <w:t>3</w:t>
      </w:r>
      <w:r>
        <w:rPr>
          <w:rFonts w:hint="eastAsia" w:ascii="宋体" w:hAnsi="宋体"/>
          <w:bCs/>
          <w:spacing w:val="-4"/>
          <w:sz w:val="24"/>
        </w:rPr>
        <w:t>个，二级指标</w:t>
      </w:r>
      <w:r>
        <w:rPr>
          <w:rFonts w:ascii="宋体" w:hAnsi="宋体"/>
          <w:bCs/>
          <w:spacing w:val="-4"/>
          <w:sz w:val="24"/>
        </w:rPr>
        <w:t>5</w:t>
      </w:r>
      <w:r>
        <w:rPr>
          <w:rFonts w:hint="eastAsia" w:ascii="宋体" w:hAnsi="宋体"/>
          <w:bCs/>
          <w:spacing w:val="-4"/>
          <w:sz w:val="24"/>
        </w:rPr>
        <w:t>个，三级指标</w:t>
      </w:r>
      <w:r>
        <w:rPr>
          <w:rFonts w:ascii="宋体" w:hAnsi="宋体"/>
          <w:bCs/>
          <w:spacing w:val="-4"/>
          <w:sz w:val="24"/>
        </w:rPr>
        <w:t>5</w:t>
      </w:r>
      <w:r>
        <w:rPr>
          <w:rFonts w:hint="eastAsia" w:ascii="宋体" w:hAnsi="宋体"/>
          <w:bCs/>
          <w:spacing w:val="-4"/>
          <w:sz w:val="24"/>
        </w:rPr>
        <w:t>个，其中已完成三级指标</w:t>
      </w:r>
      <w:r>
        <w:rPr>
          <w:rFonts w:ascii="宋体" w:hAnsi="宋体"/>
          <w:bCs/>
          <w:spacing w:val="-4"/>
          <w:sz w:val="24"/>
        </w:rPr>
        <w:t>5</w:t>
      </w:r>
      <w:r>
        <w:rPr>
          <w:rFonts w:hint="eastAsia" w:ascii="宋体" w:hAnsi="宋体"/>
          <w:bCs/>
          <w:spacing w:val="-4"/>
          <w:sz w:val="24"/>
        </w:rPr>
        <w:t>个，指标完成率为</w:t>
      </w:r>
      <w:r>
        <w:rPr>
          <w:rFonts w:ascii="宋体" w:hAnsi="宋体"/>
          <w:bCs/>
          <w:spacing w:val="-4"/>
          <w:sz w:val="24"/>
        </w:rPr>
        <w:t>98%</w:t>
      </w:r>
      <w:r>
        <w:rPr>
          <w:rFonts w:hint="eastAsia" w:ascii="宋体" w:hAnsi="宋体"/>
          <w:bCs/>
          <w:spacing w:val="-4"/>
          <w:sz w:val="24"/>
        </w:rPr>
        <w:t>。</w:t>
      </w:r>
    </w:p>
    <w:p>
      <w:pPr>
        <w:adjustRightInd w:val="0"/>
        <w:snapToGrid w:val="0"/>
        <w:spacing w:line="560" w:lineRule="exact"/>
        <w:ind w:firstLine="464" w:firstLineChars="200"/>
        <w:outlineLvl w:val="0"/>
        <w:rPr>
          <w:rFonts w:ascii="宋体"/>
          <w:sz w:val="24"/>
        </w:rPr>
      </w:pPr>
      <w:r>
        <w:rPr>
          <w:rStyle w:val="19"/>
          <w:rFonts w:hint="eastAsia" w:ascii="宋体" w:hAnsi="宋体"/>
          <w:b w:val="0"/>
          <w:spacing w:val="-4"/>
          <w:sz w:val="24"/>
        </w:rPr>
        <w:t>经济性：按照项目预期资金落实目标，完成</w:t>
      </w:r>
      <w:r>
        <w:rPr>
          <w:rFonts w:hint="eastAsia" w:ascii="宋体" w:hAnsi="宋体"/>
          <w:sz w:val="24"/>
        </w:rPr>
        <w:t>我县村级综合文化服务中心覆盖工程文化内容建设，建设内容我县各乡镇</w:t>
      </w:r>
      <w:r>
        <w:rPr>
          <w:rFonts w:ascii="宋体" w:hAnsi="宋体"/>
          <w:sz w:val="24"/>
        </w:rPr>
        <w:t>6</w:t>
      </w:r>
      <w:r>
        <w:rPr>
          <w:rFonts w:hint="eastAsia" w:ascii="宋体" w:hAnsi="宋体"/>
          <w:sz w:val="24"/>
        </w:rPr>
        <w:t>万元标准用于村级政策宣传、培训，以及节日主题活动、文体活动、各类知识竞赛活动等文化内容建设。</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效益性：项目的落实使人民群众满意度达</w:t>
      </w:r>
      <w:r>
        <w:rPr>
          <w:rStyle w:val="19"/>
          <w:rFonts w:ascii="宋体" w:hAnsi="宋体"/>
          <w:b w:val="0"/>
          <w:spacing w:val="-4"/>
          <w:sz w:val="24"/>
        </w:rPr>
        <w:t>100%</w:t>
      </w:r>
      <w:r>
        <w:rPr>
          <w:rStyle w:val="19"/>
          <w:rFonts w:hint="eastAsia" w:ascii="宋体" w:hAnsi="宋体"/>
          <w:b w:val="0"/>
          <w:spacing w:val="-4"/>
          <w:sz w:val="24"/>
        </w:rPr>
        <w:t>。</w:t>
      </w:r>
    </w:p>
    <w:p>
      <w:pPr>
        <w:adjustRightInd w:val="0"/>
        <w:snapToGrid w:val="0"/>
        <w:spacing w:line="560" w:lineRule="exact"/>
        <w:ind w:firstLine="466" w:firstLineChars="200"/>
        <w:rPr>
          <w:rFonts w:ascii="宋体"/>
          <w:b/>
          <w:spacing w:val="-4"/>
          <w:sz w:val="24"/>
        </w:rPr>
      </w:pPr>
      <w:r>
        <w:rPr>
          <w:rFonts w:hint="eastAsia" w:ascii="宋体" w:hAnsi="宋体"/>
          <w:b/>
          <w:spacing w:val="-4"/>
          <w:sz w:val="24"/>
        </w:rPr>
        <w:t>（二）项目绩效目标未完成原因分析</w:t>
      </w:r>
    </w:p>
    <w:p>
      <w:pPr>
        <w:adjustRightInd w:val="0"/>
        <w:snapToGrid w:val="0"/>
        <w:spacing w:line="560" w:lineRule="exact"/>
        <w:ind w:firstLine="464" w:firstLineChars="200"/>
        <w:rPr>
          <w:rFonts w:ascii="宋体"/>
          <w:spacing w:val="-4"/>
          <w:sz w:val="24"/>
        </w:rPr>
      </w:pPr>
      <w:r>
        <w:rPr>
          <w:rFonts w:hint="eastAsia" w:ascii="宋体" w:hAnsi="宋体"/>
          <w:spacing w:val="-4"/>
          <w:sz w:val="24"/>
        </w:rPr>
        <w:t>不存在未完成情况。</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五、其他需要说明的问题</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（一）后续工作计划</w:t>
      </w:r>
    </w:p>
    <w:p>
      <w:pPr>
        <w:adjustRightInd w:val="0"/>
        <w:snapToGrid w:val="0"/>
        <w:spacing w:line="560" w:lineRule="exact"/>
        <w:rPr>
          <w:rFonts w:ascii="宋体"/>
          <w:bCs/>
          <w:spacing w:val="-4"/>
          <w:sz w:val="24"/>
        </w:rPr>
      </w:pPr>
      <w:r>
        <w:rPr>
          <w:rFonts w:hint="eastAsia" w:ascii="宋体" w:hAnsi="宋体"/>
          <w:bCs/>
          <w:spacing w:val="-4"/>
          <w:sz w:val="24"/>
        </w:rPr>
        <w:t>工程项目建设已按照工程建设要求完成工程预期目标。</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（二）主要经验及做法、存在问题和建议</w:t>
      </w:r>
    </w:p>
    <w:p>
      <w:pPr>
        <w:adjustRightInd w:val="0"/>
        <w:snapToGrid w:val="0"/>
        <w:spacing w:line="560" w:lineRule="exact"/>
        <w:ind w:firstLine="464" w:firstLineChars="200"/>
        <w:rPr>
          <w:rFonts w:ascii="宋体"/>
          <w:bCs/>
          <w:spacing w:val="-4"/>
          <w:sz w:val="24"/>
        </w:rPr>
      </w:pPr>
      <w:r>
        <w:rPr>
          <w:rFonts w:ascii="宋体" w:hAnsi="宋体"/>
          <w:bCs/>
          <w:spacing w:val="-4"/>
          <w:sz w:val="24"/>
        </w:rPr>
        <w:t>1</w:t>
      </w:r>
      <w:r>
        <w:rPr>
          <w:rFonts w:hint="eastAsia" w:ascii="宋体" w:hAnsi="宋体"/>
          <w:bCs/>
          <w:spacing w:val="-4"/>
          <w:sz w:val="24"/>
        </w:rPr>
        <w:t>、主要经验及做法：无</w:t>
      </w:r>
    </w:p>
    <w:p>
      <w:pPr>
        <w:adjustRightInd w:val="0"/>
        <w:snapToGrid w:val="0"/>
        <w:spacing w:line="560" w:lineRule="exact"/>
        <w:ind w:firstLine="464" w:firstLineChars="200"/>
        <w:rPr>
          <w:rFonts w:ascii="宋体"/>
          <w:bCs/>
          <w:spacing w:val="-4"/>
          <w:sz w:val="24"/>
        </w:rPr>
      </w:pPr>
      <w:r>
        <w:rPr>
          <w:rFonts w:ascii="宋体" w:hAnsi="宋体"/>
          <w:bCs/>
          <w:spacing w:val="-4"/>
          <w:sz w:val="24"/>
        </w:rPr>
        <w:t>2</w:t>
      </w:r>
      <w:r>
        <w:rPr>
          <w:rFonts w:hint="eastAsia" w:ascii="宋体" w:hAnsi="宋体"/>
          <w:bCs/>
          <w:spacing w:val="-4"/>
          <w:sz w:val="24"/>
        </w:rPr>
        <w:t>、存在的问题：无</w:t>
      </w:r>
    </w:p>
    <w:p>
      <w:pPr>
        <w:adjustRightInd w:val="0"/>
        <w:snapToGrid w:val="0"/>
        <w:spacing w:line="560" w:lineRule="exact"/>
        <w:ind w:firstLine="464" w:firstLineChars="200"/>
        <w:rPr>
          <w:rFonts w:ascii="宋体"/>
          <w:bCs/>
          <w:spacing w:val="-4"/>
          <w:sz w:val="24"/>
        </w:rPr>
      </w:pPr>
      <w:r>
        <w:rPr>
          <w:rFonts w:ascii="宋体" w:hAnsi="宋体"/>
          <w:bCs/>
          <w:spacing w:val="-4"/>
          <w:sz w:val="24"/>
        </w:rPr>
        <w:t>3</w:t>
      </w:r>
      <w:r>
        <w:rPr>
          <w:rFonts w:hint="eastAsia" w:ascii="宋体" w:hAnsi="宋体"/>
          <w:bCs/>
          <w:spacing w:val="-4"/>
          <w:sz w:val="24"/>
        </w:rPr>
        <w:t>、建议：无</w:t>
      </w:r>
    </w:p>
    <w:p>
      <w:pPr>
        <w:adjustRightInd w:val="0"/>
        <w:snapToGrid w:val="0"/>
        <w:spacing w:line="560" w:lineRule="exact"/>
        <w:ind w:firstLine="466" w:firstLineChars="200"/>
        <w:outlineLvl w:val="0"/>
        <w:rPr>
          <w:rFonts w:ascii="宋体"/>
          <w:b/>
          <w:spacing w:val="-4"/>
          <w:sz w:val="24"/>
        </w:rPr>
      </w:pPr>
      <w:r>
        <w:rPr>
          <w:rFonts w:hint="eastAsia" w:ascii="宋体" w:hAnsi="宋体"/>
          <w:b/>
          <w:spacing w:val="-4"/>
          <w:sz w:val="24"/>
        </w:rPr>
        <w:t>（三）其他</w:t>
      </w:r>
    </w:p>
    <w:p>
      <w:pPr>
        <w:adjustRightInd w:val="0"/>
        <w:snapToGrid w:val="0"/>
        <w:spacing w:line="560" w:lineRule="exact"/>
        <w:ind w:firstLine="464" w:firstLineChars="200"/>
        <w:outlineLvl w:val="0"/>
        <w:rPr>
          <w:rFonts w:ascii="宋体"/>
          <w:spacing w:val="-4"/>
          <w:sz w:val="24"/>
        </w:rPr>
      </w:pPr>
      <w:r>
        <w:rPr>
          <w:rFonts w:hint="eastAsia" w:ascii="宋体" w:hAnsi="宋体"/>
          <w:spacing w:val="-4"/>
          <w:sz w:val="24"/>
        </w:rPr>
        <w:t>无</w:t>
      </w:r>
    </w:p>
    <w:p>
      <w:pPr>
        <w:adjustRightInd w:val="0"/>
        <w:snapToGrid w:val="0"/>
        <w:spacing w:line="560" w:lineRule="exact"/>
        <w:ind w:firstLine="464" w:firstLineChars="200"/>
        <w:outlineLvl w:val="0"/>
        <w:rPr>
          <w:rFonts w:ascii="宋体"/>
          <w:bCs/>
          <w:spacing w:val="-4"/>
          <w:sz w:val="24"/>
        </w:rPr>
      </w:pPr>
      <w:r>
        <w:rPr>
          <w:rStyle w:val="19"/>
          <w:rFonts w:hint="eastAsia" w:ascii="宋体" w:hAnsi="宋体"/>
          <w:b w:val="0"/>
          <w:spacing w:val="-4"/>
          <w:sz w:val="24"/>
        </w:rPr>
        <w:t>六、项目评价工作情况</w:t>
      </w:r>
    </w:p>
    <w:p>
      <w:pPr>
        <w:adjustRightInd w:val="0"/>
        <w:snapToGrid w:val="0"/>
        <w:spacing w:line="560" w:lineRule="exact"/>
        <w:ind w:firstLine="464" w:firstLineChars="200"/>
        <w:rPr>
          <w:rFonts w:ascii="宋体"/>
          <w:spacing w:val="-4"/>
          <w:sz w:val="24"/>
        </w:rPr>
      </w:pPr>
      <w:r>
        <w:rPr>
          <w:rFonts w:hint="eastAsia" w:ascii="宋体" w:hAnsi="宋体"/>
          <w:spacing w:val="-4"/>
          <w:sz w:val="24"/>
        </w:rPr>
        <w:t>本次评价通过文件研读、实地调研、数据分析等方式，全面了解扶贫村体育项目资金的使用效率和效果，项目管理过程规范，按期完成了预期绩效目标。</w:t>
      </w:r>
    </w:p>
    <w:p>
      <w:pPr>
        <w:adjustRightInd w:val="0"/>
        <w:snapToGrid w:val="0"/>
        <w:spacing w:line="560" w:lineRule="exact"/>
        <w:ind w:firstLine="464" w:firstLineChars="200"/>
        <w:outlineLvl w:val="0"/>
        <w:rPr>
          <w:rStyle w:val="19"/>
          <w:rFonts w:ascii="宋体"/>
          <w:b w:val="0"/>
          <w:spacing w:val="-4"/>
          <w:sz w:val="24"/>
        </w:rPr>
      </w:pPr>
      <w:r>
        <w:rPr>
          <w:rStyle w:val="19"/>
          <w:rFonts w:hint="eastAsia" w:ascii="宋体" w:hAnsi="宋体"/>
          <w:b w:val="0"/>
          <w:spacing w:val="-4"/>
          <w:sz w:val="24"/>
        </w:rPr>
        <w:t>七、附表</w:t>
      </w:r>
    </w:p>
    <w:p>
      <w:pPr>
        <w:adjustRightInd w:val="0"/>
        <w:snapToGrid w:val="0"/>
        <w:spacing w:line="560" w:lineRule="exact"/>
        <w:ind w:firstLine="464" w:firstLineChars="200"/>
        <w:rPr>
          <w:rStyle w:val="19"/>
          <w:rFonts w:ascii="宋体"/>
          <w:b w:val="0"/>
          <w:spacing w:val="-4"/>
          <w:sz w:val="24"/>
        </w:rPr>
      </w:pPr>
      <w:r>
        <w:rPr>
          <w:rStyle w:val="19"/>
          <w:rFonts w:hint="eastAsia" w:ascii="宋体" w:hAnsi="宋体"/>
          <w:b w:val="0"/>
          <w:spacing w:val="-4"/>
          <w:sz w:val="24"/>
        </w:rPr>
        <w:t>《项目支出绩效目标自评表》</w:t>
      </w:r>
    </w:p>
    <w:p>
      <w:pPr>
        <w:adjustRightInd w:val="0"/>
        <w:snapToGrid w:val="0"/>
        <w:spacing w:line="560" w:lineRule="exact"/>
        <w:ind w:firstLine="466" w:firstLineChars="200"/>
        <w:rPr>
          <w:rStyle w:val="19"/>
          <w:rFonts w:ascii="宋体"/>
          <w:spacing w:val="-4"/>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01C08"/>
    <w:rsid w:val="000C5E5C"/>
    <w:rsid w:val="0012208E"/>
    <w:rsid w:val="00135256"/>
    <w:rsid w:val="00186F45"/>
    <w:rsid w:val="001A4E1F"/>
    <w:rsid w:val="001A57B9"/>
    <w:rsid w:val="001B7DF5"/>
    <w:rsid w:val="001C3847"/>
    <w:rsid w:val="001C5BD2"/>
    <w:rsid w:val="001F3031"/>
    <w:rsid w:val="00204155"/>
    <w:rsid w:val="00210A26"/>
    <w:rsid w:val="00292E63"/>
    <w:rsid w:val="002A2532"/>
    <w:rsid w:val="002A2D76"/>
    <w:rsid w:val="00303AEE"/>
    <w:rsid w:val="00365250"/>
    <w:rsid w:val="0036624C"/>
    <w:rsid w:val="00385849"/>
    <w:rsid w:val="003A2161"/>
    <w:rsid w:val="00452547"/>
    <w:rsid w:val="00453E6E"/>
    <w:rsid w:val="004C4108"/>
    <w:rsid w:val="0050167F"/>
    <w:rsid w:val="00514506"/>
    <w:rsid w:val="005162F1"/>
    <w:rsid w:val="00516E80"/>
    <w:rsid w:val="00535153"/>
    <w:rsid w:val="00575CFE"/>
    <w:rsid w:val="00583AFC"/>
    <w:rsid w:val="00592D09"/>
    <w:rsid w:val="005B7D21"/>
    <w:rsid w:val="005C1C0F"/>
    <w:rsid w:val="005F38EB"/>
    <w:rsid w:val="00675D58"/>
    <w:rsid w:val="006E209D"/>
    <w:rsid w:val="006F2E6D"/>
    <w:rsid w:val="007218B8"/>
    <w:rsid w:val="00755C6A"/>
    <w:rsid w:val="00785FDE"/>
    <w:rsid w:val="007A0351"/>
    <w:rsid w:val="007A14BC"/>
    <w:rsid w:val="007C1025"/>
    <w:rsid w:val="007E6845"/>
    <w:rsid w:val="007F024A"/>
    <w:rsid w:val="007F5F8A"/>
    <w:rsid w:val="00826CA1"/>
    <w:rsid w:val="00835B7F"/>
    <w:rsid w:val="00855E3A"/>
    <w:rsid w:val="008578B5"/>
    <w:rsid w:val="00857D14"/>
    <w:rsid w:val="008E2ABD"/>
    <w:rsid w:val="008F18FD"/>
    <w:rsid w:val="00922CB9"/>
    <w:rsid w:val="009350F7"/>
    <w:rsid w:val="0095164D"/>
    <w:rsid w:val="009B526F"/>
    <w:rsid w:val="009C1AFD"/>
    <w:rsid w:val="00A26421"/>
    <w:rsid w:val="00A4293B"/>
    <w:rsid w:val="00A83BD5"/>
    <w:rsid w:val="00A977DF"/>
    <w:rsid w:val="00AE6A23"/>
    <w:rsid w:val="00B06CA5"/>
    <w:rsid w:val="00B409EA"/>
    <w:rsid w:val="00B41F61"/>
    <w:rsid w:val="00B55332"/>
    <w:rsid w:val="00B86E8C"/>
    <w:rsid w:val="00BA6E31"/>
    <w:rsid w:val="00BE1A00"/>
    <w:rsid w:val="00C22CF0"/>
    <w:rsid w:val="00C332E5"/>
    <w:rsid w:val="00C44108"/>
    <w:rsid w:val="00C56C72"/>
    <w:rsid w:val="00CA6457"/>
    <w:rsid w:val="00CC6E4D"/>
    <w:rsid w:val="00D17F2E"/>
    <w:rsid w:val="00D46194"/>
    <w:rsid w:val="00E01293"/>
    <w:rsid w:val="00E027D1"/>
    <w:rsid w:val="00E26C3F"/>
    <w:rsid w:val="00E769FE"/>
    <w:rsid w:val="00EA2CBE"/>
    <w:rsid w:val="00EB5711"/>
    <w:rsid w:val="00EF0789"/>
    <w:rsid w:val="00F32FEE"/>
    <w:rsid w:val="00F358F4"/>
    <w:rsid w:val="00F53E69"/>
    <w:rsid w:val="00F80D37"/>
    <w:rsid w:val="0FB10F21"/>
    <w:rsid w:val="16CD7245"/>
    <w:rsid w:val="185B6786"/>
    <w:rsid w:val="3F470057"/>
    <w:rsid w:val="56D21522"/>
    <w:rsid w:val="5A986D92"/>
    <w:rsid w:val="5E2A7A7F"/>
    <w:rsid w:val="6AD85B52"/>
    <w:rsid w:val="6F207792"/>
    <w:rsid w:val="70F00C37"/>
    <w:rsid w:val="76231273"/>
    <w:rsid w:val="7B4E299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qFormat/>
    <w:uiPriority w:val="99"/>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1"/>
    <w:semiHidden/>
    <w:qFormat/>
    <w:uiPriority w:val="99"/>
    <w:rPr>
      <w:rFonts w:ascii="宋体"/>
      <w:sz w:val="18"/>
      <w:szCs w:val="18"/>
    </w:rPr>
  </w:style>
  <w:style w:type="paragraph" w:styleId="12">
    <w:name w:val="Balloon Text"/>
    <w:basedOn w:val="1"/>
    <w:link w:val="32"/>
    <w:semiHidden/>
    <w:uiPriority w:val="99"/>
    <w:rPr>
      <w:sz w:val="18"/>
      <w:szCs w:val="18"/>
    </w:rPr>
  </w:style>
  <w:style w:type="paragraph" w:styleId="13">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uiPriority w:val="99"/>
    <w:pPr>
      <w:spacing w:before="100" w:beforeAutospacing="1" w:after="100"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2">
    <w:name w:val="Heading 1 Char"/>
    <w:basedOn w:val="18"/>
    <w:link w:val="2"/>
    <w:locked/>
    <w:uiPriority w:val="99"/>
    <w:rPr>
      <w:rFonts w:ascii="Cambria" w:hAnsi="Cambria" w:eastAsia="宋体" w:cs="Times New Roman"/>
      <w:b/>
      <w:bCs/>
      <w:kern w:val="32"/>
      <w:sz w:val="32"/>
      <w:szCs w:val="32"/>
    </w:rPr>
  </w:style>
  <w:style w:type="character" w:customStyle="1" w:styleId="23">
    <w:name w:val="Heading 2 Char"/>
    <w:basedOn w:val="18"/>
    <w:link w:val="3"/>
    <w:semiHidden/>
    <w:qFormat/>
    <w:locked/>
    <w:uiPriority w:val="99"/>
    <w:rPr>
      <w:rFonts w:ascii="Cambria" w:hAnsi="Cambria" w:eastAsia="宋体" w:cs="Times New Roman"/>
      <w:b/>
      <w:bCs/>
      <w:i/>
      <w:iCs/>
      <w:sz w:val="28"/>
      <w:szCs w:val="28"/>
    </w:rPr>
  </w:style>
  <w:style w:type="character" w:customStyle="1" w:styleId="24">
    <w:name w:val="Heading 3 Char"/>
    <w:basedOn w:val="18"/>
    <w:link w:val="4"/>
    <w:semiHidden/>
    <w:qFormat/>
    <w:locked/>
    <w:uiPriority w:val="99"/>
    <w:rPr>
      <w:rFonts w:ascii="Cambria" w:hAnsi="Cambria" w:eastAsia="宋体" w:cs="Times New Roman"/>
      <w:b/>
      <w:bCs/>
      <w:sz w:val="26"/>
      <w:szCs w:val="26"/>
    </w:rPr>
  </w:style>
  <w:style w:type="character" w:customStyle="1" w:styleId="25">
    <w:name w:val="Heading 4 Char"/>
    <w:basedOn w:val="18"/>
    <w:link w:val="5"/>
    <w:semiHidden/>
    <w:locked/>
    <w:uiPriority w:val="99"/>
    <w:rPr>
      <w:rFonts w:cs="Times New Roman"/>
      <w:b/>
      <w:bCs/>
      <w:sz w:val="28"/>
      <w:szCs w:val="28"/>
    </w:rPr>
  </w:style>
  <w:style w:type="character" w:customStyle="1" w:styleId="26">
    <w:name w:val="Heading 5 Char"/>
    <w:basedOn w:val="18"/>
    <w:link w:val="6"/>
    <w:semiHidden/>
    <w:qFormat/>
    <w:locked/>
    <w:uiPriority w:val="99"/>
    <w:rPr>
      <w:rFonts w:cs="Times New Roman"/>
      <w:b/>
      <w:bCs/>
      <w:i/>
      <w:iCs/>
      <w:sz w:val="26"/>
      <w:szCs w:val="26"/>
    </w:rPr>
  </w:style>
  <w:style w:type="character" w:customStyle="1" w:styleId="27">
    <w:name w:val="Heading 6 Char"/>
    <w:basedOn w:val="18"/>
    <w:link w:val="7"/>
    <w:semiHidden/>
    <w:locked/>
    <w:uiPriority w:val="99"/>
    <w:rPr>
      <w:rFonts w:cs="Times New Roman"/>
      <w:b/>
      <w:bCs/>
    </w:rPr>
  </w:style>
  <w:style w:type="character" w:customStyle="1" w:styleId="28">
    <w:name w:val="Heading 7 Char"/>
    <w:basedOn w:val="18"/>
    <w:link w:val="8"/>
    <w:semiHidden/>
    <w:qFormat/>
    <w:locked/>
    <w:uiPriority w:val="99"/>
    <w:rPr>
      <w:rFonts w:cs="Times New Roman"/>
      <w:sz w:val="24"/>
      <w:szCs w:val="24"/>
    </w:rPr>
  </w:style>
  <w:style w:type="character" w:customStyle="1" w:styleId="29">
    <w:name w:val="Heading 8 Char"/>
    <w:basedOn w:val="18"/>
    <w:link w:val="9"/>
    <w:semiHidden/>
    <w:qFormat/>
    <w:locked/>
    <w:uiPriority w:val="99"/>
    <w:rPr>
      <w:rFonts w:cs="Times New Roman"/>
      <w:i/>
      <w:iCs/>
      <w:sz w:val="24"/>
      <w:szCs w:val="24"/>
    </w:rPr>
  </w:style>
  <w:style w:type="character" w:customStyle="1" w:styleId="30">
    <w:name w:val="Heading 9 Char"/>
    <w:basedOn w:val="18"/>
    <w:link w:val="10"/>
    <w:semiHidden/>
    <w:locked/>
    <w:uiPriority w:val="99"/>
    <w:rPr>
      <w:rFonts w:ascii="Cambria" w:hAnsi="Cambria" w:eastAsia="宋体" w:cs="Times New Roman"/>
    </w:rPr>
  </w:style>
  <w:style w:type="character" w:customStyle="1" w:styleId="31">
    <w:name w:val="Document Map Char"/>
    <w:basedOn w:val="18"/>
    <w:link w:val="11"/>
    <w:semiHidden/>
    <w:qFormat/>
    <w:locked/>
    <w:uiPriority w:val="99"/>
    <w:rPr>
      <w:rFonts w:ascii="宋体" w:hAnsi="Times New Roman" w:eastAsia="宋体" w:cs="Times New Roman"/>
      <w:kern w:val="2"/>
      <w:sz w:val="18"/>
      <w:szCs w:val="18"/>
    </w:rPr>
  </w:style>
  <w:style w:type="character" w:customStyle="1" w:styleId="32">
    <w:name w:val="Balloon Text Char"/>
    <w:basedOn w:val="18"/>
    <w:link w:val="12"/>
    <w:semiHidden/>
    <w:qFormat/>
    <w:locked/>
    <w:uiPriority w:val="99"/>
    <w:rPr>
      <w:rFonts w:ascii="Times New Roman" w:hAnsi="Times New Roman" w:eastAsia="宋体" w:cs="Times New Roman"/>
      <w:kern w:val="2"/>
      <w:sz w:val="18"/>
      <w:szCs w:val="18"/>
    </w:rPr>
  </w:style>
  <w:style w:type="character" w:customStyle="1" w:styleId="33">
    <w:name w:val="Footer Char"/>
    <w:basedOn w:val="18"/>
    <w:link w:val="13"/>
    <w:locked/>
    <w:uiPriority w:val="99"/>
    <w:rPr>
      <w:rFonts w:ascii="Calibri" w:hAnsi="Calibri" w:eastAsia="宋体" w:cs="Times New Roman"/>
      <w:kern w:val="2"/>
      <w:sz w:val="18"/>
      <w:szCs w:val="18"/>
    </w:rPr>
  </w:style>
  <w:style w:type="character" w:customStyle="1" w:styleId="34">
    <w:name w:val="Header Char"/>
    <w:basedOn w:val="18"/>
    <w:link w:val="14"/>
    <w:locked/>
    <w:uiPriority w:val="99"/>
    <w:rPr>
      <w:rFonts w:ascii="Calibri" w:hAnsi="Calibri" w:eastAsia="宋体" w:cs="Times New Roman"/>
      <w:kern w:val="2"/>
      <w:sz w:val="18"/>
      <w:szCs w:val="18"/>
    </w:rPr>
  </w:style>
  <w:style w:type="character" w:customStyle="1" w:styleId="35">
    <w:name w:val="Subtitle Char"/>
    <w:basedOn w:val="18"/>
    <w:link w:val="15"/>
    <w:qFormat/>
    <w:locked/>
    <w:uiPriority w:val="99"/>
    <w:rPr>
      <w:rFonts w:ascii="Cambria" w:hAnsi="Cambria" w:eastAsia="宋体" w:cs="Times New Roman"/>
      <w:sz w:val="24"/>
      <w:szCs w:val="24"/>
    </w:rPr>
  </w:style>
  <w:style w:type="character" w:customStyle="1" w:styleId="36">
    <w:name w:val="Title Char"/>
    <w:basedOn w:val="18"/>
    <w:link w:val="17"/>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rFonts w:ascii="Calibri" w:hAnsi="Calibri"/>
      <w:i/>
      <w:kern w:val="0"/>
      <w:sz w:val="24"/>
    </w:rPr>
  </w:style>
  <w:style w:type="character" w:customStyle="1" w:styleId="40">
    <w:name w:val="Quote Char"/>
    <w:basedOn w:val="18"/>
    <w:link w:val="39"/>
    <w:qFormat/>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Intense Quote Char"/>
    <w:basedOn w:val="18"/>
    <w:link w:val="41"/>
    <w:locked/>
    <w:uiPriority w:val="99"/>
    <w:rPr>
      <w:rFonts w:cs="Times New Roman"/>
      <w:b/>
      <w:i/>
      <w:sz w:val="24"/>
    </w:rPr>
  </w:style>
  <w:style w:type="character" w:customStyle="1" w:styleId="43">
    <w:name w:val="Subtle Emphasis1"/>
    <w:basedOn w:val="18"/>
    <w:uiPriority w:val="99"/>
    <w:rPr>
      <w:rFonts w:cs="Times New Roman"/>
      <w:i/>
      <w:color w:val="5A5A5A"/>
    </w:rPr>
  </w:style>
  <w:style w:type="character" w:customStyle="1" w:styleId="44">
    <w:name w:val="Intense Emphasis1"/>
    <w:basedOn w:val="18"/>
    <w:qFormat/>
    <w:uiPriority w:val="99"/>
    <w:rPr>
      <w:rFonts w:cs="Times New Roman"/>
      <w:b/>
      <w:i/>
      <w:sz w:val="24"/>
      <w:szCs w:val="24"/>
      <w:u w:val="single"/>
    </w:rPr>
  </w:style>
  <w:style w:type="character" w:customStyle="1" w:styleId="45">
    <w:name w:val="Subtle Reference1"/>
    <w:basedOn w:val="18"/>
    <w:uiPriority w:val="99"/>
    <w:rPr>
      <w:rFonts w:cs="Times New Roman"/>
      <w:sz w:val="24"/>
      <w:szCs w:val="24"/>
      <w:u w:val="single"/>
    </w:rPr>
  </w:style>
  <w:style w:type="character" w:customStyle="1" w:styleId="46">
    <w:name w:val="Intense Reference1"/>
    <w:basedOn w:val="18"/>
    <w:qFormat/>
    <w:uiPriority w:val="99"/>
    <w:rPr>
      <w:rFonts w:cs="Times New Roman"/>
      <w:b/>
      <w:sz w:val="24"/>
      <w:u w:val="single"/>
    </w:rPr>
  </w:style>
  <w:style w:type="character" w:customStyle="1" w:styleId="47">
    <w:name w:val="Book Title1"/>
    <w:basedOn w:val="18"/>
    <w:uiPriority w:val="99"/>
    <w:rPr>
      <w:rFonts w:ascii="Cambria" w:hAnsi="Cambria" w:eastAsia="宋体" w:cs="Times New Roman"/>
      <w:b/>
      <w:i/>
      <w:sz w:val="24"/>
      <w:szCs w:val="24"/>
    </w:rPr>
  </w:style>
  <w:style w:type="paragraph" w:customStyle="1" w:styleId="48">
    <w:name w:val="TOC Heading1"/>
    <w:basedOn w:val="2"/>
    <w:next w:val="1"/>
    <w:qFormat/>
    <w:uiPriority w:val="99"/>
    <w:pPr>
      <w:outlineLvl w:val="9"/>
    </w:pPr>
    <w:rPr>
      <w:lang w:eastAsia="en-US"/>
    </w:rPr>
  </w:style>
  <w:style w:type="paragraph" w:customStyle="1" w:styleId="49">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310</Words>
  <Characters>1768</Characters>
  <Lines>0</Lines>
  <Paragraphs>0</Paragraphs>
  <TotalTime>114</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2019-01-14T02:46:00Z</dcterms:created>
  <dc:creator>赵 恺（预算处）</dc:creator>
  <cp:lastModifiedBy>Administrator</cp:lastModifiedBy>
  <cp:lastPrinted>2019-01-15T09:37:00Z</cp:lastPrinted>
  <dcterms:modified xsi:type="dcterms:W3CDTF">2019-09-19T03:39:17Z</dcterms:modified>
  <dc:title>新疆财政支出绩效自评报告</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